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Calibri" w:eastAsia="黑体"/>
          <w:spacing w:val="-6"/>
          <w:sz w:val="32"/>
          <w:szCs w:val="32"/>
          <w:lang w:val="en-US" w:eastAsia="zh-CN"/>
        </w:rPr>
      </w:pPr>
      <w:r>
        <w:rPr>
          <w:rFonts w:hint="eastAsia" w:ascii="黑体" w:hAnsi="Calibri" w:eastAsia="黑体"/>
          <w:spacing w:val="-6"/>
          <w:sz w:val="32"/>
          <w:szCs w:val="32"/>
        </w:rPr>
        <w:t>附件</w:t>
      </w:r>
      <w:r>
        <w:rPr>
          <w:rFonts w:hint="eastAsia" w:ascii="黑体" w:hAnsi="Calibri" w:eastAsia="黑体"/>
          <w:spacing w:val="-6"/>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Calibri" w:eastAsia="黑体"/>
          <w:spacing w:val="-6"/>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spacing w:val="0"/>
          <w:sz w:val="44"/>
          <w:szCs w:val="22"/>
          <w:lang w:val="en-US" w:eastAsia="zh-CN"/>
        </w:rPr>
      </w:pPr>
      <w:r>
        <w:rPr>
          <w:rFonts w:hint="eastAsia" w:ascii="方正小标宋简体" w:hAnsi="方正小标宋简体" w:eastAsia="方正小标宋简体" w:cs="方正小标宋简体"/>
          <w:spacing w:val="0"/>
          <w:sz w:val="44"/>
          <w:szCs w:val="22"/>
          <w:lang w:val="en-US" w:eastAsia="zh-CN"/>
        </w:rPr>
        <w:t>第六届全省机关体制机制创新优秀案例</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spacing w:val="0"/>
          <w:sz w:val="44"/>
          <w:szCs w:val="22"/>
          <w:lang w:val="en-US" w:eastAsia="zh-CN"/>
        </w:rPr>
      </w:pPr>
      <w:r>
        <w:rPr>
          <w:rFonts w:hint="eastAsia" w:ascii="方正小标宋简体" w:hAnsi="方正小标宋简体" w:eastAsia="方正小标宋简体" w:cs="方正小标宋简体"/>
          <w:spacing w:val="0"/>
          <w:sz w:val="44"/>
          <w:szCs w:val="22"/>
          <w:lang w:val="en-US" w:eastAsia="zh-CN"/>
        </w:rPr>
        <w:t>征集评选活动获奖案例、单位名单</w:t>
      </w:r>
    </w:p>
    <w:p>
      <w:pPr>
        <w:pStyle w:val="2"/>
        <w:rPr>
          <w:rFonts w:hint="eastAsia" w:ascii="方正小标宋简体" w:hAnsi="方正小标宋简体" w:eastAsia="方正小标宋简体" w:cs="方正小标宋简体"/>
          <w:spacing w:val="0"/>
          <w:sz w:val="44"/>
          <w:szCs w:val="2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十佳案例</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党群类（20个）</w:t>
      </w:r>
    </w:p>
    <w:p>
      <w:pPr>
        <w:keepNext w:val="0"/>
        <w:keepLines w:val="0"/>
        <w:pageBreakBefore w:val="0"/>
        <w:widowControl w:val="0"/>
        <w:kinsoku/>
        <w:wordWrap/>
        <w:overflowPunct/>
        <w:topLinePunct w:val="0"/>
        <w:autoSpaceDE/>
        <w:autoSpaceDN/>
        <w:bidi w:val="0"/>
        <w:adjustRightInd/>
        <w:snapToGrid/>
        <w:spacing w:line="600" w:lineRule="exact"/>
        <w:ind w:firstLine="596" w:firstLineChars="200"/>
        <w:textAlignment w:val="auto"/>
        <w:rPr>
          <w:rFonts w:hint="eastAsia" w:ascii="仿宋_GB2312" w:hAnsi="仿宋_GB2312" w:cs="仿宋_GB2312"/>
          <w:spacing w:val="-11"/>
          <w:sz w:val="32"/>
          <w:szCs w:val="32"/>
          <w:lang w:val="en-US" w:eastAsia="zh-CN"/>
        </w:rPr>
      </w:pPr>
      <w:r>
        <w:rPr>
          <w:rFonts w:hint="eastAsia" w:ascii="仿宋_GB2312" w:hAnsi="仿宋_GB2312" w:cs="仿宋_GB2312"/>
          <w:spacing w:val="-11"/>
          <w:sz w:val="32"/>
          <w:szCs w:val="32"/>
          <w:lang w:val="en-US" w:eastAsia="zh-CN"/>
        </w:rPr>
        <w:t>1.《创新推行跨村联建 助推乡村全面振兴》（省委组织部）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2.《推动“福”文化传承创新、打响“福”文化品牌》（省委宣传部）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3.《省纪委监委驻省委统战部纪检监察组与民主党派省委会机关建立国家监察全面覆盖工作机制》(省纪委监委驻省委统战部纪检监察组）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4.《传承弘扬“晋江经验”，“五心联动”推动发展》（省委统战部）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5.《创新建设海丝中央法务区  打造一流法治创新聚集区和法律服务高地》（省委政法委）</w:t>
      </w:r>
    </w:p>
    <w:p>
      <w:pPr>
        <w:keepNext w:val="0"/>
        <w:keepLines w:val="0"/>
        <w:pageBreakBefore w:val="0"/>
        <w:widowControl w:val="0"/>
        <w:kinsoku/>
        <w:wordWrap/>
        <w:overflowPunct/>
        <w:topLinePunct w:val="0"/>
        <w:autoSpaceDE/>
        <w:autoSpaceDN/>
        <w:bidi w:val="0"/>
        <w:adjustRightInd/>
        <w:snapToGrid/>
        <w:spacing w:line="600" w:lineRule="exact"/>
        <w:ind w:firstLine="596" w:firstLineChars="200"/>
        <w:textAlignment w:val="auto"/>
        <w:rPr>
          <w:rFonts w:hint="eastAsia" w:ascii="仿宋_GB2312" w:hAnsi="仿宋_GB2312" w:cs="仿宋_GB2312"/>
          <w:spacing w:val="-11"/>
          <w:sz w:val="32"/>
          <w:szCs w:val="32"/>
          <w:lang w:val="en-US" w:eastAsia="zh-CN"/>
        </w:rPr>
      </w:pPr>
      <w:r>
        <w:rPr>
          <w:rFonts w:hint="eastAsia" w:ascii="仿宋_GB2312" w:hAnsi="仿宋_GB2312" w:cs="仿宋_GB2312"/>
          <w:spacing w:val="-11"/>
          <w:sz w:val="32"/>
          <w:szCs w:val="32"/>
          <w:lang w:val="en-US" w:eastAsia="zh-CN"/>
        </w:rPr>
        <w:t>6.《创新完善“五化”机制纵深推进改革》（省委改革办）</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7.《建立完善“五级体系”推动党中央重大决策部署落地落实》（省发改委）</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8.《首创“行见八闽”研学实践圈打造“大思政课”福建样板》（省教育厅）</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9.《“园区枫桥”机制  助力园区和谐发展》（省总工会）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10.《“333”模式全面融入新时代文明实践》（国网福建电力公司）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11.《探索推行全国首个“党建+双拥”工作机制创新双拥共建共治共享模式》（福州市委市直机关工委）</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12.《党建引领网格管理  提升社区治理效能》（福州市委组织部）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13.《在斗争一线考察识别干部的厦门实践》（厦门市委组织部）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14.《学思用贯通、知信行统一  打造“反诈利剑、卫民先锋”党建品牌》（厦门市公安局）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15.《泉州市村级小微权力监督信息平台》（泉州市纪委监委）</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16.《福建三明：实施“揭榜挂帅”新模式 破解山区招才引智、招商引资“两难问题”》（三明市委组织部）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17.《莆田市创新建立“党建工作指导员+12345平台+党员律师帮帮团”联动机制》（莆田市司法局、12345热线管理中心）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18.《达标创星擦亮模范机关底色》（南平市委市直机关工委）</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19.《“五比五看”引领“三个大抓”推进机关党建与中心工作有机融合》（龙岩市委市直机关工委）</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20.《年轻干部“四下基层”的宁德机关实践》（宁德市委组织部、市直机关工委）</w:t>
      </w:r>
    </w:p>
    <w:p>
      <w:pPr>
        <w:pStyle w:val="2"/>
        <w:rPr>
          <w:rFonts w:hint="eastAsia" w:ascii="仿宋_GB2312" w:hAnsi="仿宋_GB2312" w:cs="仿宋_GB2312"/>
          <w:color w:val="000000"/>
          <w:spacing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非党群类（20个）</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 xml:space="preserve">    1.《法治引领机制创新  保障快递业高质量发展》（省人大常委会机关）</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 xml:space="preserve">    2.《汇聚数据强化运行监测和绩效管理 数字赋能党委政府科学决策——福建省创新经济社会运行监测与绩效管理案例》（省政府办公厅）</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 xml:space="preserve">    3.《生态环境刑事案件林业碳汇赔偿机制》（省法院）</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 xml:space="preserve">    4.《数字赋能加强乡村振兴资金监管》（省财政厅）</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 xml:space="preserve">5.《“二手房转移登记一件事”集成套餐服务改革助力优化营商环境》（省自然资源厅）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6.《创新机制  攻坚克难 推进农村集体产权制度改革整省试点》（省农业农村厅）</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7.《构建风险普查数据引擎 创新驱动智慧防灾应急》[省应急管理厅（普查办）]</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8.《深化集体林权制度改革完善生态产品价值实现机制》（省林业局）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 xml:space="preserve">9.《“全链条创作指导、全过程高效反应、全周期提升服务”——电视剧创作生产的“福建经验”》（省广电局）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 xml:space="preserve">10.《福建探索医保移动支付应用，提升人民群众办事体验感、幸福感》（省医保局） </w:t>
      </w:r>
    </w:p>
    <w:p>
      <w:pPr>
        <w:keepNext w:val="0"/>
        <w:keepLines w:val="0"/>
        <w:pageBreakBefore w:val="0"/>
        <w:widowControl w:val="0"/>
        <w:kinsoku/>
        <w:wordWrap/>
        <w:overflowPunct/>
        <w:topLinePunct w:val="0"/>
        <w:autoSpaceDE/>
        <w:autoSpaceDN/>
        <w:bidi w:val="0"/>
        <w:adjustRightInd/>
        <w:snapToGrid/>
        <w:spacing w:line="600" w:lineRule="exact"/>
        <w:ind w:firstLine="596" w:firstLineChars="200"/>
        <w:textAlignment w:val="auto"/>
        <w:rPr>
          <w:rFonts w:hint="eastAsia" w:ascii="仿宋_GB2312" w:hAnsi="仿宋_GB2312" w:cs="仿宋_GB2312"/>
          <w:spacing w:val="-11"/>
          <w:sz w:val="32"/>
          <w:szCs w:val="32"/>
          <w:lang w:val="en-US" w:eastAsia="zh-CN"/>
        </w:rPr>
      </w:pPr>
      <w:r>
        <w:rPr>
          <w:rFonts w:hint="eastAsia" w:ascii="仿宋_GB2312" w:hAnsi="仿宋_GB2312" w:cs="仿宋_GB2312"/>
          <w:spacing w:val="-11"/>
          <w:sz w:val="32"/>
          <w:szCs w:val="32"/>
          <w:lang w:val="en-US" w:eastAsia="zh-CN"/>
        </w:rPr>
        <w:t>11.《一中心管全城，数字化保安全——福州水系联排联调机制创新实践》（福州市城乡建设局、城区水系联排联调中心）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12.《高质量打造多层次医疗保障体系“厦门样本”》（厦门市医保局）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 xml:space="preserve">13.《防治更快更早更准  锻造“生命之舟”——全国首创卒中救治样板的漳州实践》（漳州市卫健委、漳州市医院）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14.《海上养殖综合整治的宁德模式》[宁德市委办（改革办），市海渔局、发改委）]</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 xml:space="preserve">15.《洛江区探索“望闻问切”心理四诊法介入信访工作新路径》（泉州市洛江区委、区政府）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 xml:space="preserve">16.《创新实施以“码上办”推动“马上就办”改革有效提升审批服务智慧化水平》（泉州市行政服务中心管委会、发改委）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17.《以“委员工作站”建设为抓手 加快构建全链条协商体系》（三明市政协）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 xml:space="preserve">18.《推进“全市一张图、全域数字化”推动政府数字化智能化运行》（莆田市发改委）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 xml:space="preserve">19.《探索创新“两山”转化路径建立完善生态产品价值实现机制》（南平市自然资源局）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20.《全国首创台胞职业资格一体化服务模式打造便利化台胞登陆就业环境》（平潭党工委党群工作部）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cs="仿宋_GB2312"/>
          <w:color w:val="000000"/>
          <w:spacing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百优案例</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lang w:val="en-US" w:eastAsia="zh-CN"/>
        </w:rPr>
      </w:pPr>
      <w:r>
        <w:rPr>
          <w:rFonts w:hint="eastAsia" w:ascii="黑体" w:hAnsi="黑体" w:eastAsia="黑体" w:cs="黑体"/>
          <w:lang w:val="en-US" w:eastAsia="zh-CN"/>
        </w:rPr>
        <w:t>党群类（41个）</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1.《精心办好“五高讲坛” 全力创建模范机关、打造过硬队伍》（省委编办）</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2.《发挥党刊宣传主阵地优势做好新思想深化内化转化文章》（省委省直机关工委）</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outlineLvl w:val="9"/>
        <w:rPr>
          <w:rFonts w:hint="eastAsia" w:ascii="仿宋_GB2312" w:hAnsi="仿宋_GB2312" w:cs="仿宋_GB2312"/>
          <w:color w:val="000000"/>
          <w:spacing w:val="-20"/>
          <w:sz w:val="32"/>
          <w:szCs w:val="32"/>
          <w:highlight w:val="none"/>
          <w:lang w:val="en-US" w:eastAsia="zh-CN"/>
        </w:rPr>
      </w:pPr>
      <w:r>
        <w:rPr>
          <w:rFonts w:hint="eastAsia" w:ascii="仿宋_GB2312" w:hAnsi="仿宋_GB2312" w:cs="仿宋_GB2312"/>
          <w:color w:val="000000"/>
          <w:spacing w:val="-20"/>
          <w:sz w:val="32"/>
          <w:szCs w:val="32"/>
          <w:highlight w:val="none"/>
          <w:lang w:val="en-US" w:eastAsia="zh-CN"/>
        </w:rPr>
        <w:t>3.《实施“星火工程”，助燃机关党建》（省委省直机关工委）</w:t>
      </w:r>
    </w:p>
    <w:p>
      <w:pPr>
        <w:keepNext w:val="0"/>
        <w:keepLines w:val="0"/>
        <w:pageBreakBefore w:val="0"/>
        <w:widowControl w:val="0"/>
        <w:kinsoku/>
        <w:wordWrap/>
        <w:overflowPunct/>
        <w:topLinePunct w:val="0"/>
        <w:autoSpaceDE/>
        <w:autoSpaceDN/>
        <w:bidi w:val="0"/>
        <w:adjustRightInd/>
        <w:snapToGrid/>
        <w:spacing w:line="600" w:lineRule="exact"/>
        <w:ind w:firstLine="596" w:firstLineChars="200"/>
        <w:textAlignment w:val="auto"/>
        <w:rPr>
          <w:rFonts w:hint="eastAsia" w:ascii="仿宋_GB2312" w:hAnsi="仿宋_GB2312" w:cs="仿宋_GB2312"/>
          <w:spacing w:val="-11"/>
          <w:sz w:val="32"/>
          <w:szCs w:val="32"/>
          <w:lang w:val="en-US" w:eastAsia="zh-CN"/>
        </w:rPr>
      </w:pPr>
      <w:r>
        <w:rPr>
          <w:rFonts w:hint="eastAsia" w:ascii="仿宋_GB2312" w:hAnsi="仿宋_GB2312" w:cs="仿宋_GB2312"/>
          <w:spacing w:val="-11"/>
          <w:sz w:val="32"/>
          <w:szCs w:val="32"/>
          <w:lang w:val="en-US" w:eastAsia="zh-CN"/>
        </w:rPr>
        <w:t>4.《坚持“一人一策”精准服务离休干部》（省委老干部局）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5.《深化细化工会会员权益清单 做职工合法权益的守护者》（省工信厅）</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6.《强化公安纪检监察干部“八小时以外”监督管理机制》（省公安厅）</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7.《多维激活“廉动力”，清风护航促发展》（省卫健委）</w:t>
      </w:r>
    </w:p>
    <w:p>
      <w:pPr>
        <w:keepNext w:val="0"/>
        <w:keepLines w:val="0"/>
        <w:pageBreakBefore w:val="0"/>
        <w:widowControl w:val="0"/>
        <w:kinsoku/>
        <w:wordWrap/>
        <w:overflowPunct/>
        <w:topLinePunct w:val="0"/>
        <w:autoSpaceDE/>
        <w:autoSpaceDN/>
        <w:bidi w:val="0"/>
        <w:adjustRightInd/>
        <w:snapToGrid/>
        <w:spacing w:line="600" w:lineRule="exact"/>
        <w:ind w:firstLine="548" w:firstLineChars="200"/>
        <w:textAlignment w:val="auto"/>
        <w:rPr>
          <w:rFonts w:hint="eastAsia" w:ascii="仿宋_GB2312" w:hAnsi="仿宋_GB2312" w:cs="仿宋_GB2312"/>
          <w:spacing w:val="-23"/>
          <w:sz w:val="32"/>
          <w:szCs w:val="32"/>
          <w:lang w:val="en-US" w:eastAsia="zh-CN"/>
        </w:rPr>
      </w:pPr>
      <w:r>
        <w:rPr>
          <w:rFonts w:hint="eastAsia" w:ascii="仿宋_GB2312" w:hAnsi="仿宋_GB2312" w:cs="仿宋_GB2312"/>
          <w:spacing w:val="-23"/>
          <w:sz w:val="32"/>
          <w:szCs w:val="32"/>
          <w:lang w:val="en-US" w:eastAsia="zh-CN"/>
        </w:rPr>
        <w:t>8.《打造“五个一”特色文化：变软实力为硬支撑》（省卫健委）</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9.《改革创新党对体育工作领导十六条措施为体育强省建设提供坚强制度保障》（省体育局）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10.《八闽工匠学堂》(省总工会)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11.《创新“1333”叠层式党建品牌矩阵赋能机制推进税收现代化服务中国式现代化》（省税务局）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12.《突出三个“理论+” 擦亮“青声习语·向未来”理论宣讲品牌》（厦门边检总站）</w:t>
      </w:r>
    </w:p>
    <w:p>
      <w:pPr>
        <w:keepNext w:val="0"/>
        <w:keepLines w:val="0"/>
        <w:pageBreakBefore w:val="0"/>
        <w:widowControl w:val="0"/>
        <w:kinsoku/>
        <w:wordWrap/>
        <w:overflowPunct/>
        <w:topLinePunct w:val="0"/>
        <w:autoSpaceDE/>
        <w:autoSpaceDN/>
        <w:bidi w:val="0"/>
        <w:adjustRightInd/>
        <w:snapToGrid/>
        <w:spacing w:line="600" w:lineRule="exact"/>
        <w:ind w:firstLine="548" w:firstLineChars="200"/>
        <w:textAlignment w:val="auto"/>
        <w:rPr>
          <w:rFonts w:hint="eastAsia" w:ascii="仿宋_GB2312" w:hAnsi="仿宋_GB2312" w:cs="仿宋_GB2312"/>
          <w:spacing w:val="-23"/>
          <w:sz w:val="32"/>
          <w:szCs w:val="32"/>
          <w:lang w:val="en-US" w:eastAsia="zh-CN"/>
        </w:rPr>
      </w:pPr>
      <w:r>
        <w:rPr>
          <w:rFonts w:hint="eastAsia" w:ascii="仿宋_GB2312" w:hAnsi="仿宋_GB2312" w:cs="仿宋_GB2312"/>
          <w:spacing w:val="-23"/>
          <w:sz w:val="32"/>
          <w:szCs w:val="32"/>
          <w:lang w:val="en-US" w:eastAsia="zh-CN"/>
        </w:rPr>
        <w:t>13.《兴业银行“6543”工作机制案例情况介绍》（兴业银行）</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14.《创新“青优、青马、青干”联合培养  为国有企业高质量发展培育青年人才》（国网福建电力公司）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15.《深化“区岗队组”建设，强化党员示范行动进一步推动党建工作与生产经营发展工作深度融合》（华能福建分公司）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16.《讲习传播新思想 监督护航守文脉——“坊巷讲习所”的探索与实践》（福州市纪委监委）</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17.《福州市创新打造“1335”联动工作机制  扎实做好重大事项舆情处置和宣传引导工作》（福州市委宣传部）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18.《“好年华 聚福州”研学活动》（福州团市委）</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19.《探索实践党建“六小”活动让组织生活更加“走新”“走实”“走心”》（厦门市资源规划局）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20.《厦门海关推行“家访工作制”提升机关党建工作质效》（厦门海关）</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21.《厦门市纪委监委推广“近邻监督”工作模式案例情况介绍》（厦门市纪委监委）</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22.《构建“543”红色堡垒标准化建设工作机制》（国网厦门电力公司）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23.《坚持党建与业务同频共振 以高质量党建引领组织工作高质量发展》（漳州市委市直机关工委、组织部、编办）</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24.《深化“三争行动” 推动“三个转向”“连心”服务打造“不打烊”漳州税务样板》（漳州市税务局）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25.《创新“村网共建”文明实践机制 打造“为群众办实事”样板》（漳州市委文明办、国网漳州供电公司）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26.《创新“1335”党建工作法 解锁人社服务新模式》（漳州市人社局、诏安县人社局、诏安县委县直机关工委）</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27.《提升机关党建“四大指数” 激发强堡垒促发展机制的红色动能》（泉州市委市直机关工委）</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28.《泉州边检站建设“边检小花”新媒体宣传平台案例》（泉州出入境边防检查站）</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29.《探索推行“大部制”协同工作机制推动多部门一体化融合运行》（泉州市鲤城区委组织部、鲤城区委编办）</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30.《永春县推行社区大党委“议事日”制度提升基层治理效能》（泉州永春县委组织部）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31.《深化党建引领基层治理 构建网格管理服务“一张网”》（德化县委组织部、县直机关工委）</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outlineLvl w:val="9"/>
        <w:rPr>
          <w:rFonts w:hint="eastAsia" w:ascii="仿宋_GB2312" w:hAnsi="仿宋_GB2312" w:cs="仿宋_GB2312"/>
          <w:color w:val="000000"/>
          <w:spacing w:val="-20"/>
          <w:sz w:val="32"/>
          <w:szCs w:val="32"/>
          <w:highlight w:val="none"/>
          <w:lang w:val="en-US" w:eastAsia="zh-CN"/>
        </w:rPr>
      </w:pPr>
      <w:r>
        <w:rPr>
          <w:rFonts w:hint="eastAsia" w:ascii="仿宋_GB2312" w:hAnsi="仿宋_GB2312" w:cs="仿宋_GB2312"/>
          <w:color w:val="000000"/>
          <w:spacing w:val="-20"/>
          <w:sz w:val="32"/>
          <w:szCs w:val="32"/>
          <w:highlight w:val="none"/>
          <w:lang w:val="en-US" w:eastAsia="zh-CN"/>
        </w:rPr>
        <w:t>32.《贯穿全过程人民民主 推动基层治理守正创新——莆田市深化推进城乡社区民主协商标准化建设》（莆田市民政局）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33.《探索“党建体检+精准选派+能力提升+资源下沉”机制 筑牢乡村振兴坚强战斗堡垒》（南平市委组织部）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34.《建立“五化”工作机制促巡察工作提质增效》（南平市纪委监委）</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35.《打造以“链接资源、赋能基层、服务会员”为特色的南平市工会普惠平台》（南平市总工会）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36.《搭建沟通“微平台”服务群众“零距离”》（松溪县委组织部、县直机关工委）</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37.《创新“四级联建”机制 推动党的建设与政协履职有机融合》（南平市政协）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outlineLvl w:val="9"/>
        <w:rPr>
          <w:rFonts w:hint="eastAsia" w:ascii="仿宋_GB2312" w:hAnsi="仿宋_GB2312" w:cs="仿宋_GB2312"/>
          <w:color w:val="000000"/>
          <w:spacing w:val="-20"/>
          <w:sz w:val="32"/>
          <w:szCs w:val="32"/>
          <w:highlight w:val="none"/>
          <w:lang w:val="en-US" w:eastAsia="zh-CN"/>
        </w:rPr>
      </w:pPr>
      <w:r>
        <w:rPr>
          <w:rFonts w:hint="eastAsia" w:ascii="仿宋_GB2312" w:hAnsi="仿宋_GB2312" w:cs="仿宋_GB2312"/>
          <w:color w:val="000000"/>
          <w:spacing w:val="-20"/>
          <w:sz w:val="32"/>
          <w:szCs w:val="32"/>
          <w:highlight w:val="none"/>
          <w:lang w:val="en-US" w:eastAsia="zh-CN"/>
        </w:rPr>
        <w:t>38.《党建引领“金扁担”挑起乡村振兴致富路》（龙岩市供销社）</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39.《数字人才助力乡村振兴、产业发展的探索与实践》（龙岩市委组织部）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40.《市直机关“E报到”：探索机关“双报到”工作新模式》（宁德市委组织部、市直机关工委）</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41.《宁德市实施“6+1”，推进“习爷爷在宁德的故事”进校园》（宁德市政府办、市委宣传部 、市教育局）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outlineLvl w:val="9"/>
        <w:rPr>
          <w:rFonts w:hint="eastAsia" w:ascii="仿宋_GB2312" w:hAnsi="仿宋_GB2312" w:cs="仿宋_GB2312"/>
          <w:color w:val="000000"/>
          <w:spacing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lang w:val="en-US" w:eastAsia="zh-CN"/>
        </w:rPr>
      </w:pPr>
      <w:r>
        <w:rPr>
          <w:rFonts w:hint="eastAsia" w:ascii="黑体" w:hAnsi="黑体" w:eastAsia="黑体" w:cs="黑体"/>
          <w:lang w:val="en-US" w:eastAsia="zh-CN"/>
        </w:rPr>
        <w:t>非党群类（40个）</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1.《持续深化乡镇（街道）“一支队伍管执法”扎实推进基层管理体制机制创新》（省委编办）</w:t>
      </w:r>
    </w:p>
    <w:p>
      <w:pPr>
        <w:keepNext w:val="0"/>
        <w:keepLines w:val="0"/>
        <w:pageBreakBefore w:val="0"/>
        <w:widowControl w:val="0"/>
        <w:kinsoku/>
        <w:wordWrap/>
        <w:overflowPunct/>
        <w:topLinePunct w:val="0"/>
        <w:autoSpaceDE/>
        <w:autoSpaceDN/>
        <w:bidi w:val="0"/>
        <w:adjustRightInd/>
        <w:snapToGrid/>
        <w:spacing w:line="600" w:lineRule="exact"/>
        <w:ind w:firstLine="548" w:firstLineChars="200"/>
        <w:textAlignment w:val="auto"/>
        <w:rPr>
          <w:rFonts w:hint="eastAsia" w:ascii="仿宋_GB2312" w:hAnsi="仿宋_GB2312" w:cs="仿宋_GB2312"/>
          <w:spacing w:val="-23"/>
          <w:sz w:val="32"/>
          <w:szCs w:val="32"/>
          <w:lang w:val="en-US" w:eastAsia="zh-CN"/>
        </w:rPr>
      </w:pPr>
      <w:r>
        <w:rPr>
          <w:rFonts w:hint="eastAsia" w:ascii="仿宋_GB2312" w:hAnsi="仿宋_GB2312" w:cs="仿宋_GB2312"/>
          <w:spacing w:val="-23"/>
          <w:sz w:val="32"/>
          <w:szCs w:val="32"/>
          <w:lang w:val="en-US" w:eastAsia="zh-CN"/>
        </w:rPr>
        <w:t>2.《创新执行监督联动机制 高质效提升检察履职》（省检察院）</w:t>
      </w:r>
    </w:p>
    <w:p>
      <w:pPr>
        <w:keepNext w:val="0"/>
        <w:keepLines w:val="0"/>
        <w:pageBreakBefore w:val="0"/>
        <w:widowControl w:val="0"/>
        <w:kinsoku/>
        <w:wordWrap/>
        <w:overflowPunct/>
        <w:topLinePunct w:val="0"/>
        <w:autoSpaceDE/>
        <w:autoSpaceDN/>
        <w:bidi w:val="0"/>
        <w:adjustRightInd/>
        <w:snapToGrid/>
        <w:spacing w:line="600" w:lineRule="exact"/>
        <w:ind w:firstLine="596" w:firstLineChars="200"/>
        <w:textAlignment w:val="auto"/>
        <w:rPr>
          <w:rFonts w:hint="eastAsia" w:ascii="仿宋_GB2312" w:hAnsi="仿宋_GB2312" w:cs="仿宋_GB2312"/>
          <w:spacing w:val="-11"/>
          <w:sz w:val="32"/>
          <w:szCs w:val="32"/>
          <w:lang w:val="en-US" w:eastAsia="zh-CN"/>
        </w:rPr>
      </w:pPr>
      <w:r>
        <w:rPr>
          <w:rFonts w:hint="eastAsia" w:ascii="仿宋_GB2312" w:hAnsi="仿宋_GB2312" w:cs="仿宋_GB2312"/>
          <w:spacing w:val="-11"/>
          <w:sz w:val="32"/>
          <w:szCs w:val="32"/>
          <w:lang w:val="en-US" w:eastAsia="zh-CN"/>
        </w:rPr>
        <w:t>3.《全省重大活动集中签约项目跟踪管理机制》（省发改委）</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4.《创新生态环境行政执法“四项机制”助推深入打好污染防治攻坚战》（省生态环境厅）</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5.创新推行“1+N”审批方式助力营商环境不断优化提升（省水利厅）</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6.《探索建立水利工程带水文机制助力福建水文高质量发展》（省水利厅）</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7.《全省一体化诊所诊疗监督信息平台》（省卫健委）</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8.《标准引领食品安全“码”上治理》（省市场监管局）</w:t>
      </w:r>
    </w:p>
    <w:p>
      <w:pPr>
        <w:keepNext w:val="0"/>
        <w:keepLines w:val="0"/>
        <w:pageBreakBefore w:val="0"/>
        <w:widowControl w:val="0"/>
        <w:kinsoku/>
        <w:wordWrap/>
        <w:overflowPunct/>
        <w:topLinePunct w:val="0"/>
        <w:autoSpaceDE/>
        <w:autoSpaceDN/>
        <w:bidi w:val="0"/>
        <w:adjustRightInd/>
        <w:snapToGrid/>
        <w:spacing w:line="600" w:lineRule="exact"/>
        <w:ind w:firstLine="548" w:firstLineChars="200"/>
        <w:textAlignment w:val="auto"/>
        <w:rPr>
          <w:rFonts w:hint="eastAsia" w:ascii="仿宋_GB2312" w:hAnsi="仿宋_GB2312" w:cs="仿宋_GB2312"/>
          <w:spacing w:val="-23"/>
          <w:sz w:val="32"/>
          <w:szCs w:val="32"/>
          <w:lang w:val="en-US" w:eastAsia="zh-CN"/>
        </w:rPr>
      </w:pPr>
      <w:r>
        <w:rPr>
          <w:rFonts w:hint="eastAsia" w:ascii="仿宋_GB2312" w:hAnsi="仿宋_GB2312" w:cs="仿宋_GB2312"/>
          <w:spacing w:val="-23"/>
          <w:sz w:val="32"/>
          <w:szCs w:val="32"/>
          <w:lang w:val="en-US" w:eastAsia="zh-CN"/>
        </w:rPr>
        <w:t>9.《“碳”索绿色金融，走出“福建路径》（省金融监管局）</w:t>
      </w:r>
    </w:p>
    <w:p>
      <w:pPr>
        <w:keepNext w:val="0"/>
        <w:keepLines w:val="0"/>
        <w:pageBreakBefore w:val="0"/>
        <w:widowControl w:val="0"/>
        <w:kinsoku/>
        <w:wordWrap/>
        <w:overflowPunct/>
        <w:topLinePunct w:val="0"/>
        <w:autoSpaceDE/>
        <w:autoSpaceDN/>
        <w:bidi w:val="0"/>
        <w:adjustRightInd/>
        <w:snapToGrid/>
        <w:spacing w:line="600" w:lineRule="exact"/>
        <w:ind w:firstLine="548" w:firstLineChars="200"/>
        <w:textAlignment w:val="auto"/>
        <w:rPr>
          <w:rFonts w:hint="eastAsia" w:ascii="仿宋_GB2312" w:hAnsi="仿宋_GB2312" w:cs="仿宋_GB2312"/>
          <w:spacing w:val="-23"/>
          <w:sz w:val="32"/>
          <w:szCs w:val="32"/>
          <w:lang w:val="en-US" w:eastAsia="zh-CN"/>
        </w:rPr>
      </w:pPr>
      <w:r>
        <w:rPr>
          <w:rFonts w:hint="eastAsia" w:ascii="仿宋_GB2312" w:hAnsi="仿宋_GB2312" w:cs="仿宋_GB2312"/>
          <w:spacing w:val="-23"/>
          <w:sz w:val="32"/>
          <w:szCs w:val="32"/>
          <w:lang w:val="en-US" w:eastAsia="zh-CN"/>
        </w:rPr>
        <w:t>10.《贯通“1133”工作链条，推动家校社协同育人》（省妇联）</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11.《福州市数字经济发展工作体制机制创新》（福州市大数据委）</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12.《部门联动与科技应用相统一的节能创新模式——以福州市机关事务节能工作为例》（福州市机关管理局）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13.《税惠不用跑服务体系》（福州市税务局）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14.《强力推进服务贸易创新发展》（厦门市商务局）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15.《“兵教融合”模式力促退役军人高质量就业》（厦门市退役军人事务局）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outlineLvl w:val="9"/>
        <w:rPr>
          <w:rFonts w:hint="eastAsia" w:ascii="仿宋_GB2312" w:hAnsi="仿宋_GB2312" w:cs="仿宋_GB2312"/>
          <w:color w:val="000000"/>
          <w:spacing w:val="-20"/>
          <w:sz w:val="32"/>
          <w:szCs w:val="32"/>
          <w:highlight w:val="none"/>
          <w:lang w:val="en-US" w:eastAsia="zh-CN"/>
        </w:rPr>
      </w:pPr>
      <w:r>
        <w:rPr>
          <w:rFonts w:hint="eastAsia" w:ascii="仿宋_GB2312" w:hAnsi="仿宋_GB2312" w:cs="仿宋_GB2312"/>
          <w:color w:val="000000"/>
          <w:spacing w:val="-20"/>
          <w:sz w:val="32"/>
          <w:szCs w:val="32"/>
          <w:highlight w:val="none"/>
          <w:lang w:val="en-US" w:eastAsia="zh-CN"/>
        </w:rPr>
        <w:t>16.《贯彻新发展理念，构筑绿色金融体系》（厦门市金融监管局）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17.《深挖数据潜能、探索税费集成，打造自然人服务管理新样板》（厦门市税务局）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18.《抓改革 谋创新 促发展——厦门火炬高新区以科技创新引领高新区高质量发展》（厦门火炬管委会）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19.《厦门自贸片区助力跨境电商“销购全球”》（厦门自贸片区管委会）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20.《首创“非警务事项”分流机制  全面实现“110管警情、12345管民生”》（漳州市政府办、公安局）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21.《以“改”为领  以“新”为擎 全力打造生态环境损害赔偿漳州模式》（漳州市生态环境局）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22.《全国首推林业地票改革  积极探索林区共同富裕新路》（漳州市林业局、南靖县林业局）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outlineLvl w:val="9"/>
        <w:rPr>
          <w:rFonts w:hint="eastAsia" w:ascii="仿宋_GB2312" w:hAnsi="仿宋_GB2312" w:cs="仿宋_GB2312"/>
          <w:color w:val="000000"/>
          <w:spacing w:val="-20"/>
          <w:sz w:val="32"/>
          <w:szCs w:val="32"/>
          <w:highlight w:val="none"/>
          <w:lang w:val="en-US" w:eastAsia="zh-CN"/>
        </w:rPr>
      </w:pPr>
      <w:r>
        <w:rPr>
          <w:rFonts w:hint="eastAsia" w:ascii="仿宋_GB2312" w:hAnsi="仿宋_GB2312" w:cs="仿宋_GB2312"/>
          <w:color w:val="000000"/>
          <w:spacing w:val="-20"/>
          <w:sz w:val="32"/>
          <w:szCs w:val="32"/>
          <w:highlight w:val="none"/>
          <w:lang w:val="en-US" w:eastAsia="zh-CN"/>
        </w:rPr>
        <w:t>23.《创新区域协作机制 提升共建共治能力》（泉州市委改革办）</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24.《见文留神 保护优先 打造传统村落保护利用连片示范》（泉州市住建局）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25.《搭建海外华裔青年交流平台“以侨架桥”跨境共赢》（泉州市商务局、石狮市商务局）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26.《强链条 创机制 打造县域知识产权南安标杆》（南安市市场监管局）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outlineLvl w:val="9"/>
        <w:rPr>
          <w:rFonts w:hint="eastAsia" w:ascii="仿宋_GB2312" w:hAnsi="仿宋_GB2312" w:cs="仿宋_GB2312"/>
          <w:color w:val="000000"/>
          <w:spacing w:val="-20"/>
          <w:sz w:val="32"/>
          <w:szCs w:val="32"/>
          <w:highlight w:val="none"/>
          <w:lang w:val="en-US" w:eastAsia="zh-CN"/>
        </w:rPr>
      </w:pPr>
      <w:r>
        <w:rPr>
          <w:rFonts w:hint="eastAsia" w:ascii="仿宋_GB2312" w:hAnsi="仿宋_GB2312" w:cs="仿宋_GB2312"/>
          <w:color w:val="000000"/>
          <w:spacing w:val="-20"/>
          <w:sz w:val="32"/>
          <w:szCs w:val="32"/>
          <w:highlight w:val="none"/>
          <w:lang w:val="en-US" w:eastAsia="zh-CN"/>
        </w:rPr>
        <w:t>27.《蓝色海湾生态修复模式》（晋江市林业和园林绿化局）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28.《三明市坚持创新突破 推深做实林长制》（三明市政府办、林业局）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29.《以健康为中心的三明医改实践》（三明市卫健委）</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30.《莆田市在全省率先建好住宅专项维修资金智慧监管平台》（莆田市城管局）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outlineLvl w:val="9"/>
        <w:rPr>
          <w:rFonts w:hint="eastAsia" w:ascii="仿宋_GB2312" w:hAnsi="仿宋_GB2312" w:cs="仿宋_GB2312"/>
          <w:color w:val="000000"/>
          <w:spacing w:val="-20"/>
          <w:sz w:val="32"/>
          <w:szCs w:val="32"/>
          <w:highlight w:val="none"/>
          <w:lang w:val="en-US" w:eastAsia="zh-CN"/>
        </w:rPr>
      </w:pPr>
      <w:r>
        <w:rPr>
          <w:rFonts w:hint="eastAsia" w:ascii="仿宋_GB2312" w:hAnsi="仿宋_GB2312" w:cs="仿宋_GB2312"/>
          <w:color w:val="000000"/>
          <w:spacing w:val="-20"/>
          <w:sz w:val="32"/>
          <w:szCs w:val="32"/>
          <w:highlight w:val="none"/>
          <w:lang w:val="en-US" w:eastAsia="zh-CN"/>
        </w:rPr>
        <w:t>31.《完善“三即十快”机制  实现小案快侦》（莆田市公安局）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32.《创新“一张图”绘制人才链和产业链精准融合新路径》（莆田市人社局）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33.《创新林下空间流转机制完善生态产品价值实现路径》（南平市林业局）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34.《以城市体检为推手，打造城市更新“南平样本”》（南平市住建局、政府办、市委办）</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outlineLvl w:val="9"/>
        <w:rPr>
          <w:rFonts w:hint="eastAsia" w:ascii="仿宋_GB2312" w:hAnsi="仿宋_GB2312" w:cs="仿宋_GB2312"/>
          <w:color w:val="000000"/>
          <w:spacing w:val="-20"/>
          <w:sz w:val="32"/>
          <w:szCs w:val="32"/>
          <w:highlight w:val="none"/>
          <w:lang w:val="en-US" w:eastAsia="zh-CN"/>
        </w:rPr>
      </w:pPr>
      <w:r>
        <w:rPr>
          <w:rFonts w:hint="eastAsia" w:ascii="仿宋_GB2312" w:hAnsi="仿宋_GB2312" w:cs="仿宋_GB2312"/>
          <w:color w:val="000000"/>
          <w:spacing w:val="-20"/>
          <w:sz w:val="32"/>
          <w:szCs w:val="32"/>
          <w:highlight w:val="none"/>
          <w:lang w:val="en-US" w:eastAsia="zh-CN"/>
        </w:rPr>
        <w:t>35.《“掌”上金融 “码”上贷款——龙岩市全力打造助农支小扶弱的“数字普惠金融服务平台”》（龙岩市金融监管局）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outlineLvl w:val="9"/>
        <w:rPr>
          <w:rFonts w:hint="eastAsia" w:ascii="仿宋_GB2312" w:hAnsi="仿宋_GB2312" w:cs="仿宋_GB2312"/>
          <w:color w:val="000000"/>
          <w:spacing w:val="-20"/>
          <w:sz w:val="32"/>
          <w:szCs w:val="32"/>
          <w:highlight w:val="none"/>
          <w:lang w:val="en-US" w:eastAsia="zh-CN"/>
        </w:rPr>
      </w:pPr>
      <w:r>
        <w:rPr>
          <w:rFonts w:hint="eastAsia" w:ascii="仿宋_GB2312" w:hAnsi="仿宋_GB2312" w:cs="仿宋_GB2312"/>
          <w:color w:val="000000"/>
          <w:spacing w:val="-20"/>
          <w:sz w:val="32"/>
          <w:szCs w:val="32"/>
          <w:highlight w:val="none"/>
          <w:lang w:val="en-US" w:eastAsia="zh-CN"/>
        </w:rPr>
        <w:t>36.《龙岩市积极探索生态司法+碳汇补偿机制》（龙岩市林业局）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outlineLvl w:val="9"/>
        <w:rPr>
          <w:rFonts w:hint="eastAsia" w:ascii="仿宋_GB2312" w:hAnsi="仿宋_GB2312" w:cs="仿宋_GB2312"/>
          <w:color w:val="000000"/>
          <w:spacing w:val="-20"/>
          <w:sz w:val="32"/>
          <w:szCs w:val="32"/>
          <w:highlight w:val="none"/>
          <w:lang w:val="en-US" w:eastAsia="zh-CN"/>
        </w:rPr>
      </w:pPr>
      <w:r>
        <w:rPr>
          <w:rFonts w:hint="eastAsia" w:ascii="仿宋_GB2312" w:hAnsi="仿宋_GB2312" w:cs="仿宋_GB2312"/>
          <w:color w:val="000000"/>
          <w:spacing w:val="-20"/>
          <w:sz w:val="32"/>
          <w:szCs w:val="32"/>
          <w:highlight w:val="none"/>
          <w:lang w:val="en-US" w:eastAsia="zh-CN"/>
        </w:rPr>
        <w:t>37.《标准引领 改革赋能 高效便民上杭县推行“乡镇便民集成服务标准化试点”改革工作》（龙岩市上杭县行政服务中心管委会）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38.《盘活农村生产要素 改革助力乡村振兴》（宁德市委办、改革办、福鼎市委办）</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color w:val="000000"/>
          <w:spacing w:val="0"/>
          <w:sz w:val="32"/>
          <w:szCs w:val="32"/>
          <w:highlight w:val="none"/>
          <w:lang w:val="en-US" w:eastAsia="zh-CN"/>
        </w:rPr>
      </w:pPr>
      <w:r>
        <w:rPr>
          <w:rFonts w:hint="eastAsia" w:ascii="仿宋_GB2312" w:hAnsi="仿宋_GB2312" w:cs="仿宋_GB2312"/>
          <w:color w:val="000000"/>
          <w:spacing w:val="0"/>
          <w:sz w:val="32"/>
          <w:szCs w:val="32"/>
          <w:highlight w:val="none"/>
          <w:lang w:val="en-US" w:eastAsia="zh-CN"/>
        </w:rPr>
        <w:t>39.《宁德法院“四型”诉非联动中心》（宁德市法院）</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96" w:firstLineChars="200"/>
        <w:jc w:val="both"/>
        <w:textAlignment w:val="auto"/>
        <w:outlineLvl w:val="9"/>
        <w:rPr>
          <w:rFonts w:hint="eastAsia" w:ascii="仿宋_GB2312" w:hAnsi="仿宋_GB2312" w:cs="仿宋_GB2312"/>
          <w:color w:val="000000"/>
          <w:spacing w:val="-11"/>
          <w:sz w:val="32"/>
          <w:szCs w:val="32"/>
          <w:highlight w:val="none"/>
          <w:lang w:val="en-US" w:eastAsia="zh-CN"/>
        </w:rPr>
      </w:pPr>
      <w:r>
        <w:rPr>
          <w:rFonts w:hint="eastAsia" w:ascii="仿宋_GB2312" w:hAnsi="仿宋_GB2312" w:cs="仿宋_GB2312"/>
          <w:color w:val="000000"/>
          <w:spacing w:val="-11"/>
          <w:sz w:val="32"/>
          <w:szCs w:val="32"/>
          <w:highlight w:val="none"/>
          <w:lang w:val="en-US" w:eastAsia="zh-CN"/>
        </w:rPr>
        <w:t>40.《涉案房产“e拍即得”协同执行机制》（平潭税务局）</w:t>
      </w:r>
    </w:p>
    <w:p>
      <w:pPr>
        <w:pStyle w:val="2"/>
        <w:rPr>
          <w:rFonts w:hint="eastAsia" w:ascii="仿宋_GB2312" w:hAnsi="仿宋_GB2312" w:cs="仿宋_GB2312"/>
          <w:color w:val="000000"/>
          <w:spacing w:val="-11"/>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优秀组织奖</w:t>
      </w:r>
    </w:p>
    <w:p>
      <w:pPr>
        <w:pStyle w:val="2"/>
        <w:ind w:firstLine="596" w:firstLineChars="200"/>
        <w:rPr>
          <w:rFonts w:hint="eastAsia" w:ascii="仿宋_GB2312" w:hAnsi="仿宋_GB2312" w:cs="仿宋_GB2312"/>
          <w:color w:val="000000"/>
          <w:spacing w:val="-11"/>
          <w:sz w:val="32"/>
          <w:szCs w:val="32"/>
          <w:highlight w:val="none"/>
          <w:lang w:val="en-US" w:eastAsia="zh-CN"/>
        </w:rPr>
      </w:pPr>
      <w:r>
        <w:rPr>
          <w:rFonts w:hint="eastAsia" w:ascii="仿宋_GB2312" w:hAnsi="仿宋_GB2312" w:cs="仿宋_GB2312"/>
          <w:color w:val="000000"/>
          <w:spacing w:val="-11"/>
          <w:sz w:val="32"/>
          <w:szCs w:val="32"/>
          <w:highlight w:val="none"/>
          <w:lang w:val="en-US" w:eastAsia="zh-CN"/>
        </w:rPr>
        <w:t>省水利厅、省卫健委、省总工会、国网福建电力公司</w:t>
      </w:r>
    </w:p>
    <w:p>
      <w:pPr>
        <w:pStyle w:val="2"/>
        <w:ind w:firstLine="596" w:firstLineChars="200"/>
        <w:rPr>
          <w:rFonts w:hint="eastAsia" w:ascii="仿宋_GB2312" w:hAnsi="仿宋_GB2312" w:cs="仿宋_GB2312"/>
          <w:color w:val="000000"/>
          <w:spacing w:val="-11"/>
          <w:sz w:val="32"/>
          <w:szCs w:val="32"/>
          <w:highlight w:val="none"/>
          <w:lang w:val="en-US" w:eastAsia="zh-CN"/>
        </w:rPr>
      </w:pPr>
      <w:r>
        <w:rPr>
          <w:rFonts w:hint="eastAsia" w:ascii="仿宋_GB2312" w:hAnsi="仿宋_GB2312" w:cs="仿宋_GB2312"/>
          <w:color w:val="000000"/>
          <w:spacing w:val="-11"/>
          <w:sz w:val="32"/>
          <w:szCs w:val="32"/>
          <w:highlight w:val="none"/>
          <w:lang w:val="en-US" w:eastAsia="zh-CN"/>
        </w:rPr>
        <w:t>福州市委市直机关工委、改革办，市发改委、效能办；</w:t>
      </w:r>
    </w:p>
    <w:p>
      <w:pPr>
        <w:pStyle w:val="2"/>
        <w:ind w:firstLine="596" w:firstLineChars="200"/>
        <w:rPr>
          <w:rFonts w:hint="eastAsia" w:ascii="仿宋_GB2312" w:hAnsi="仿宋_GB2312" w:cs="仿宋_GB2312"/>
          <w:color w:val="000000"/>
          <w:spacing w:val="-11"/>
          <w:sz w:val="32"/>
          <w:szCs w:val="32"/>
          <w:highlight w:val="none"/>
          <w:lang w:val="en-US" w:eastAsia="zh-CN"/>
        </w:rPr>
      </w:pPr>
      <w:r>
        <w:rPr>
          <w:rFonts w:hint="eastAsia" w:ascii="仿宋_GB2312" w:hAnsi="仿宋_GB2312" w:cs="仿宋_GB2312"/>
          <w:color w:val="000000"/>
          <w:spacing w:val="-11"/>
          <w:sz w:val="32"/>
          <w:szCs w:val="32"/>
          <w:highlight w:val="none"/>
          <w:lang w:val="en-US" w:eastAsia="zh-CN"/>
        </w:rPr>
        <w:t>厦门市委市直机关工委、改革办，市发改委、效能办；</w:t>
      </w:r>
    </w:p>
    <w:p>
      <w:pPr>
        <w:pStyle w:val="2"/>
        <w:ind w:firstLine="596" w:firstLineChars="200"/>
        <w:rPr>
          <w:rFonts w:hint="eastAsia" w:ascii="仿宋_GB2312" w:hAnsi="仿宋_GB2312" w:cs="仿宋_GB2312"/>
          <w:color w:val="000000"/>
          <w:spacing w:val="-11"/>
          <w:sz w:val="32"/>
          <w:szCs w:val="32"/>
          <w:highlight w:val="none"/>
          <w:lang w:val="en-US" w:eastAsia="zh-CN"/>
        </w:rPr>
      </w:pPr>
      <w:r>
        <w:rPr>
          <w:rFonts w:hint="eastAsia" w:ascii="仿宋_GB2312" w:hAnsi="仿宋_GB2312" w:cs="仿宋_GB2312"/>
          <w:color w:val="000000"/>
          <w:spacing w:val="-11"/>
          <w:sz w:val="32"/>
          <w:szCs w:val="32"/>
          <w:highlight w:val="none"/>
          <w:lang w:val="en-US" w:eastAsia="zh-CN"/>
        </w:rPr>
        <w:t>泉州市委市直机关工委、改革办，市发改委、效能办；</w:t>
      </w:r>
    </w:p>
    <w:p>
      <w:pPr>
        <w:pStyle w:val="2"/>
        <w:ind w:firstLine="596" w:firstLineChars="200"/>
        <w:rPr>
          <w:rFonts w:hint="eastAsia" w:ascii="仿宋_GB2312" w:hAnsi="仿宋_GB2312" w:cs="仿宋_GB2312"/>
          <w:color w:val="000000"/>
          <w:spacing w:val="-11"/>
          <w:sz w:val="32"/>
          <w:szCs w:val="32"/>
          <w:highlight w:val="none"/>
          <w:lang w:val="en-US" w:eastAsia="zh-CN"/>
        </w:rPr>
      </w:pPr>
      <w:r>
        <w:rPr>
          <w:rFonts w:hint="eastAsia" w:ascii="仿宋_GB2312" w:hAnsi="仿宋_GB2312" w:cs="仿宋_GB2312"/>
          <w:color w:val="000000"/>
          <w:spacing w:val="-11"/>
          <w:sz w:val="32"/>
          <w:szCs w:val="32"/>
          <w:highlight w:val="none"/>
          <w:lang w:val="en-US" w:eastAsia="zh-CN"/>
        </w:rPr>
        <w:t>南平市委市直机关工委、改革办，市发改委、效能办。</w:t>
      </w:r>
    </w:p>
    <w:p>
      <w:bookmarkStart w:id="0" w:name="_GoBack"/>
      <w:bookmarkEnd w:id="0"/>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I1OTJkMWNjYTRhMjliMzA1OTg3YjNjODhhMjQ2MTQifQ=="/>
  </w:docVars>
  <w:rsids>
    <w:rsidRoot w:val="00000000"/>
    <w:rsid w:val="2D5B7853"/>
    <w:rsid w:val="4AB904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alloon Text"/>
    <w:basedOn w:val="1"/>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2023-12-20T13:30:00Z</dcterms:created>
  <dc:creator>黄欣</dc:creator>
  <cp:lastModifiedBy>黄欣</cp:lastModifiedBy>
  <dcterms:modified xsi:type="dcterms:W3CDTF">2023-12-20T13:51:33Z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18C7263194FC4CC5AEF0A733C4C076AD_12</vt:lpwstr>
  </property>
</Properties>
</file>